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Methods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ab/>
        <w:t xml:space="preserve">Food response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Place crab in maze. Allow 1 minute to adjust to new environment.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Place food on opposite side of maze (out of line of sight)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Begin timing of crab and stop timing when they find the food (or if five minutes pass; whichever occurs first) (will also be video recording their behavior in the maze)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Repeat for each subject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ab/>
        <w:t xml:space="preserve">Predator response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Place subject in predator testing tank. Allow 1 minute to adjust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Place green crab in sectioned off portion of tank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Video record subject reaction for 1 minute (antennae movement will be processed after the fact)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firstLine="720"/>
        <w:rPr/>
      </w:pPr>
      <w:r w:rsidDel="00000000" w:rsidR="00000000" w:rsidRPr="00000000">
        <w:rPr>
          <w:rtl w:val="0"/>
        </w:rPr>
        <w:t xml:space="preserve">Resazurin 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Perform resazurin assays for all subjects according to lab protocol.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